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Приложение N 10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"Культура Кабардино-Балкарии"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ПРЕДОСТАВЛЕНИЯ И РАСПРЕДЕЛЕНИЯ СУБСИДИЙ ИЗ РЕСПУБЛИКАНСКОГО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БЮДЖЕТА КАБАРДИНО-БАЛКАРСКОЙ РЕСПУБЛИКИ МЕСТНЫМ БЮДЖЕТАМ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НА ОБЕСПЕЧЕНИЕ РАЗВИТИЯ И УКРЕПЛЕНИЕ МАТЕРИАЛЬНО-ТЕХНИЧЕСКОЙ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БАЗЫ МУНИЦИПАЛЬНЫХ ДОМОВ КУЛЬТУРЫ В НАСЕЛЕННЫХ ПУНКТАХ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3E7A">
        <w:rPr>
          <w:rFonts w:ascii="Times New Roman" w:hAnsi="Times New Roman" w:cs="Times New Roman"/>
          <w:b/>
          <w:bCs/>
          <w:sz w:val="24"/>
          <w:szCs w:val="24"/>
        </w:rPr>
        <w:t>С ЧИСЛОМ ЖИТЕЛЕЙ ДО 50 ТЫС. ЧЕЛОВЕК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25714" w:rsidRPr="00B53E7A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B53E7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B53E7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КБР от 11.03.2021 </w:t>
            </w:r>
            <w:hyperlink r:id="rId4" w:history="1">
              <w:r w:rsidRPr="00B53E7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39-ПП</w:t>
              </w:r>
            </w:hyperlink>
            <w:r w:rsidRPr="00B53E7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B53E7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20.10.2021 </w:t>
            </w:r>
            <w:hyperlink r:id="rId5" w:history="1">
              <w:r w:rsidRPr="00B53E7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214-ПП</w:t>
              </w:r>
            </w:hyperlink>
            <w:r w:rsidRPr="00B53E7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714" w:rsidRPr="00B53E7A" w:rsidRDefault="00025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1. Настоящие Правила устанавливают порядок предоставления и распределения субсидий из республиканского бюджета Кабардино-Балкарской Республики бюджетам муниципальных образований на обеспечение развития и укрепление материально-технической базы домов культуры в населенных пунктах с числом жителей до 50 тыс. человек (далее - субсидия).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2. Понятие "дом культуры" включает в себя муниципальные учреждения культурно-досугового типа, в </w:t>
      </w:r>
      <w:bookmarkStart w:id="0" w:name="_GoBack"/>
      <w:bookmarkEnd w:id="0"/>
      <w:r w:rsidRPr="00B53E7A">
        <w:rPr>
          <w:rFonts w:ascii="Times New Roman" w:hAnsi="Times New Roman" w:cs="Times New Roman"/>
          <w:sz w:val="24"/>
          <w:szCs w:val="24"/>
        </w:rPr>
        <w:t>том числе дома и дворцы культуры, дома народного творчества, клубы, центры культурного развития, этнокультурные центры, центры культуры и досуга, центры традиционной культуры, дома фольклора, дома и центры ремесел, дома досуга, культурно-досуговые и культурно-спортивные центры.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  <w:r w:rsidRPr="00B53E7A">
        <w:rPr>
          <w:rFonts w:ascii="Times New Roman" w:hAnsi="Times New Roman" w:cs="Times New Roman"/>
          <w:sz w:val="24"/>
          <w:szCs w:val="24"/>
        </w:rPr>
        <w:t>3. Министерство культуры Кабардино-Балкарской Республики берет на себя обязательства по проведению отбора домов культуры для адресного распределения субсидии из республиканского бюджета Кабардино-Балкарской Республики.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Субсидии предоставляются в целях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по реализации мероприятий муниципальных программ, предусматривающих развитие и укрепление материально-технической базы домов культуры (и их филиалов), расположенных в населенных пунктах с числом жителей до 50 тыс. человек, выполнение ремонтных работ в отношении объектов, закрепленных на праве оперативного управления за домами культуры (и их филиалами), расположенными в населенных пунктах с числом жителей до 50 тыс. человек, включая следующие мероприятия: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развитие и укрепление материально-технической базы домов культуры (и их филиалов), расположенных в населенных пунктах с числом жителей до 50 тыс. человек;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ремонтные работы (текущий ремонт) в отношении зданий домов культуры (и их филиалов), расположенных в населенных пунктах с числом жителей до 50 тыс. человек.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4. Субсидии предоставляются местным бюджетам в пределах бюджетных ассигнований, предусмотренных в законе Кабардино-Балкарской Республики о республиканском бюджете Кабардино-Балкарской Республики на соответствующий финансовый год и на плановый период, и лимитов бюджетных обязательств, доведенных до Министерства культуры Кабардино-Балкарской Республики как получателя средств республиканского бюджета Кабардино-Балкарской Республики на цели, предусмотренные </w:t>
      </w:r>
      <w:hyperlink w:anchor="Par17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5. Общий размер субсидии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местному бюджету определяется путем отбора муниципальных образований в несколько этапов.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lastRenderedPageBreak/>
        <w:t>На первом этапе производится отбор в отношении муниципальных образований, в заявках которых предусмотрено оснащение сценическими креслами домов культуры (построенных, реконструированных или капитально отремонтированных в период с 2017 года).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Размер субсидии, предоставляемой бюджету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гo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 целях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образования, возникающих при реализации мероприятий, направленных на укрепление материально-технической базы дома культуры в рамках прошедшей отбор заявки (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noProof/>
          <w:position w:val="-22"/>
          <w:sz w:val="24"/>
          <w:szCs w:val="24"/>
          <w:lang w:eastAsia="ru-RU"/>
        </w:rPr>
        <w:drawing>
          <wp:inline distT="0" distB="0" distL="0" distR="0">
            <wp:extent cx="1219200" cy="426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где: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3E7A">
        <w:rPr>
          <w:rFonts w:ascii="Times New Roman" w:hAnsi="Times New Roman" w:cs="Times New Roman"/>
          <w:sz w:val="24"/>
          <w:szCs w:val="24"/>
        </w:rPr>
        <w:t>Z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- заявленная (предоставляемая) потребность в денежных средствах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осуществление указанных мероприятий;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ПрРБi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- предельный уровень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расходного обязательства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гo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из республиканского бюджета.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На втором и последующих этапах расчет размера субсидии применяется в случае, если в результате распределения субсидии на предыдущем этапе образовался нераспределенный остаток субсидии: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для муниципальных районов, чья общая потребность на реализацию мероприятий в соответствующем году составила не более 450 тыс. рублей (V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1i</w:t>
      </w:r>
      <w:r w:rsidRPr="00B53E7A">
        <w:rPr>
          <w:rFonts w:ascii="Times New Roman" w:hAnsi="Times New Roman" w:cs="Times New Roman"/>
          <w:sz w:val="24"/>
          <w:szCs w:val="24"/>
        </w:rPr>
        <w:t>) равняется заявленной потребности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для муниципальных районов, чья общая потребность на реализацию мероприятий в соответствующем году превышает более 450 тыс. рублей (V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2i</w:t>
      </w:r>
      <w:r w:rsidRPr="00B53E7A">
        <w:rPr>
          <w:rFonts w:ascii="Times New Roman" w:hAnsi="Times New Roman" w:cs="Times New Roman"/>
          <w:sz w:val="24"/>
          <w:szCs w:val="24"/>
        </w:rPr>
        <w:t>) равняется определяется по формуле: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53E7A">
        <w:rPr>
          <w:rFonts w:ascii="Times New Roman" w:hAnsi="Times New Roman" w:cs="Times New Roman"/>
          <w:sz w:val="24"/>
          <w:szCs w:val="24"/>
        </w:rPr>
        <w:t>Z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Zio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- 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3E7A">
        <w:rPr>
          <w:rFonts w:ascii="Times New Roman" w:hAnsi="Times New Roman" w:cs="Times New Roman"/>
          <w:sz w:val="24"/>
          <w:szCs w:val="24"/>
        </w:rPr>
        <w:t xml:space="preserve"> - 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3E7A">
        <w:rPr>
          <w:rFonts w:ascii="Times New Roman" w:hAnsi="Times New Roman" w:cs="Times New Roman"/>
          <w:sz w:val="24"/>
          <w:szCs w:val="24"/>
        </w:rPr>
        <w:t>) / n,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где: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3E7A">
        <w:rPr>
          <w:rFonts w:ascii="Times New Roman" w:hAnsi="Times New Roman" w:cs="Times New Roman"/>
          <w:sz w:val="24"/>
          <w:szCs w:val="24"/>
        </w:rPr>
        <w:t>Zio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- общая сумма бюджетных ассигнований республиканского бюджета Кабардино-Балкарской Республики на предоставление субсидий местному бюджету i-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53E7A">
        <w:rPr>
          <w:rFonts w:ascii="Times New Roman" w:hAnsi="Times New Roman" w:cs="Times New Roman"/>
          <w:sz w:val="24"/>
          <w:szCs w:val="24"/>
        </w:rPr>
        <w:t xml:space="preserve"> - общий размер субсидии на осуществление указанных мероприятий первого этапа;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V</w:t>
      </w:r>
      <w:r w:rsidRPr="00B53E7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53E7A">
        <w:rPr>
          <w:rFonts w:ascii="Times New Roman" w:hAnsi="Times New Roman" w:cs="Times New Roman"/>
          <w:sz w:val="24"/>
          <w:szCs w:val="24"/>
        </w:rPr>
        <w:t xml:space="preserve"> - общий размер субсидии на осуществление указанных мероприятий второго этапа;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n - количество муниципальных районов, чья общая потребность на реализацию мероприятий в соответствующем году составила более 450 тыс. рублей.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(п. 5 в ред. </w:t>
      </w:r>
      <w:hyperlink r:id="rId7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Правительства КБР от 11.03.2021 N 39-ПП)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6. Критерием отбора муниципальных образований для предоставления субсидии является уровень расчетной бюджетной обеспеченности ниже или равный показателю 1, рассчитанный в соответствии с Порядком распределения дотаций из республиканского фонда финансовой поддержки муниципальных районов (городских округов), Методикой расчета размера дотаций из районных фондов финансовой поддержки поселений, утвержденными </w:t>
      </w:r>
      <w:hyperlink r:id="rId8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Кабардино-Балкарской Республики от 7 февраля 2011 г. N 11-РЗ "О бюджетном устройстве и бюджетном процессе в Кабардино-Балкарской Республике".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lastRenderedPageBreak/>
        <w:t xml:space="preserve">7. Предельный уровень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из республиканского бюджета Кабардино-Балкарской Республики рассчитывается в соответствии с </w:t>
      </w:r>
      <w:hyperlink r:id="rId9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"О формировании, предоставлении и распределении субсидий из республиканского бюджета Кабардино-Балкарской Республики бюджетам муниципальных образований" (далее - Правила формирования, предоставления и распределения субсидий).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8. Условиями предоставления субсидий являются: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а) наличие правовых актов муниципальных образований, утверждающих перечень мероприятий, в целях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которых осуществляется предоставление субсидий;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б) наличие в республиканском бюджете Кабардино-Балкарской Республики бюджетных ассигнований на исполнение расходного обязательства муниципального образования, </w:t>
      </w:r>
      <w:proofErr w:type="spellStart"/>
      <w:r w:rsidRPr="00B53E7A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B53E7A">
        <w:rPr>
          <w:rFonts w:ascii="Times New Roman" w:hAnsi="Times New Roman" w:cs="Times New Roman"/>
          <w:sz w:val="24"/>
          <w:szCs w:val="24"/>
        </w:rPr>
        <w:t xml:space="preserve"> которого осуществляется из республиканского бюджета Кабардино-Балкарской Республики, в объеме, необходимом для его исполнения, и порядок определения объемов указанных ассигнований, если иное не установлено актами Главы Кабардино-Балкарской Республики или Правительства Кабардино-Балкарской Республики;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в) заключение соглашения о предоставлении субсидии, которое включает в себя положения, предусмотренные </w:t>
      </w:r>
      <w:hyperlink r:id="rId10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9. Отбор муниципальных домов культуры для проведения мероприятий, предусмотренных </w:t>
      </w:r>
      <w:hyperlink w:anchor="Par17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пунктом 3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настоящих Правил, осуществляется Министерством культуры Кабардино-Балкарской Республики на основании заявок и в соответствии со следующими критериями: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а) для модернизации материально-технической базы муниципальных домов культуры: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наличие муниципальных программ, предусматривающих проведение указанных мероприятий и (или) плана основных мероприятий;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рост числа участников мероприятий в муниципальных домах культуры;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наличие отремонтированных зданий муниципальных домов культуры;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укомплектованный штат специалистами культурно-досуговой деятельности;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б) для выполнения ремонтных работ (текущий ремонт):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наличие сметной документации на проведение работ;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наличие муниципальных программ, предусматривающих проведение указанных мероприятий и (или) плана основных мероприятий;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рост числа участников мероприятий в муниципальных домах культуры;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укомплектованный штат специалистами культурно-досуговой деятельности.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B53E7A">
        <w:rPr>
          <w:rFonts w:ascii="Times New Roman" w:hAnsi="Times New Roman" w:cs="Times New Roman"/>
          <w:sz w:val="24"/>
          <w:szCs w:val="24"/>
        </w:rPr>
        <w:t>10. Субсидия предоставляется местному бюджету муниципального образования на основании соглашения между Министерством культуры Кабардино-Балкарской Республики и местной администрацией муниципального образования, заключаемого в соответствии с типовой формой соглашения, утвержденной Министерством финансов Кабардино-Балкарской Республики.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11. Перечисление субсидий осуществляется в установленном порядке на единые счета бюджетов, открытые финансовым органом муниципальных образований в территориальных органах федерального казначейства.</w:t>
      </w:r>
    </w:p>
    <w:p w:rsidR="00025714" w:rsidRPr="00B53E7A" w:rsidRDefault="00025714" w:rsidP="00025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(п. 11 в ред. </w:t>
      </w:r>
      <w:hyperlink r:id="rId11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Правительства КБР от 20.10.2021 N 214-ПП)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12. При заключении соглашения, предусмотренного </w:t>
      </w:r>
      <w:hyperlink w:anchor="Par60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настоящих Правил, местная администрация муниципального образования представляет главному распорядителю средств республиканского бюджета Кабардино-Балкарской Республики (в электронном виде и на бумажном носителе) отчетность об исполнении условий предоставления субсидии.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13. Показателем результативности использования субсидии является средняя численность участников клубных формирований в расчете на одну тыс. человек (в населенных пунктах с числом жителей до 50 тыс. человек), который предусмотрен соглашением, указанным в </w:t>
      </w:r>
      <w:hyperlink w:anchor="Par60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Оценка достижения значения показателя результативности использования субсидии осуществляется Министерством культуры Кабардино-Балкарской Республики на основании анализа отчетности, представленной муниципальными образованиями.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14. Положения, касающиеся порядка возврата субсидии муниципальным образованием в случае нарушения обязательств, предусмотренных соглашением, указанным в </w:t>
      </w:r>
      <w:hyperlink w:anchor="Par60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настоящих Правил, в том числе порядка расчета размера субсидии, подлежащего возврату, сроков возврата, оснований для освобождения муниципального образования от применения мер ответственности за нарушение обязательств, предусмотренных соглашением, а также порядка использования возвращенной субсидии Министерством культуры Кабардино-Балкарской Республики, применяются в соответствии с </w:t>
      </w:r>
      <w:hyperlink r:id="rId12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22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5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23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15. Ответственность за достоверность представляемых Министерству культуры Кабардино-Балкарской Республики сведений возлагается на местную администрацию муниципального образования.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 xml:space="preserve">16. В случае нецелевого использования субсидий и (или) нарушения муниципальным образованием условий ее предоставления, в том числе невозврата муниципальным образованием средств в республиканский бюджет Кабардино-Балкарской Республики в соответствии с </w:t>
      </w:r>
      <w:hyperlink r:id="rId16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B53E7A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B53E7A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025714" w:rsidRPr="00B53E7A" w:rsidRDefault="00025714" w:rsidP="0002571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3E7A">
        <w:rPr>
          <w:rFonts w:ascii="Times New Roman" w:hAnsi="Times New Roman" w:cs="Times New Roman"/>
          <w:sz w:val="24"/>
          <w:szCs w:val="24"/>
        </w:rPr>
        <w:t>17. Контроль за соблюдением муниципальными образованиями условий предоставления субсидий осуществляется Министерством культуры Кабардино-Балкарской Республики и Управлением Федерального казначейства по Кабардино-Балкарской Республике, осуществляющим функции по контролю и надзору в финансово-бюджетной сфере.</w:t>
      </w:r>
    </w:p>
    <w:p w:rsidR="009A6D81" w:rsidRPr="00B53E7A" w:rsidRDefault="009A6D81">
      <w:pPr>
        <w:rPr>
          <w:rFonts w:ascii="Times New Roman" w:hAnsi="Times New Roman" w:cs="Times New Roman"/>
          <w:sz w:val="24"/>
          <w:szCs w:val="24"/>
        </w:rPr>
      </w:pPr>
    </w:p>
    <w:sectPr w:rsidR="009A6D81" w:rsidRPr="00B53E7A" w:rsidSect="00692E05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14"/>
    <w:rsid w:val="00025714"/>
    <w:rsid w:val="009A6D81"/>
    <w:rsid w:val="00B5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B54D9-ED4D-4D4D-9A3D-B3E69186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EC71B52D521543183597F9CD5EE184C8697E5D6B8393D941D71B3BFFCDB0C01AB66405C831FE800695423D27F694E7RDV2J" TargetMode="External"/><Relationship Id="rId13" Type="http://schemas.openxmlformats.org/officeDocument/2006/relationships/hyperlink" Target="consultantplus://offline/ref=75EC71B52D521543183597F9CD5EE184C8697E5D678594D241D71B3BFFCDB0C01AB66417C869F281048A413A32A0C5A185F3F57E10A32CAF5B71ABRCVDJ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EC71B52D521543183597F9CD5EE184C8697E5D658A92D446D71B3BFFCDB0C01AB66417C869F281078E443932A0C5A185F3F57E10A32CAF5B71ABRCVDJ" TargetMode="External"/><Relationship Id="rId12" Type="http://schemas.openxmlformats.org/officeDocument/2006/relationships/hyperlink" Target="consultantplus://offline/ref=75EC71B52D521543183597F9CD5EE184C8697E5D678594D241D71B3BFFCDB0C01AB66417C869F281048B453F32A0C5A185F3F57E10A32CAF5B71ABRCVDJ" TargetMode="External"/><Relationship Id="rId17" Type="http://schemas.openxmlformats.org/officeDocument/2006/relationships/hyperlink" Target="consultantplus://offline/ref=75EC71B52D521543183597F9CD5EE184C8697E5D678594D241D71B3BFFCDB0C01AB66417C869F281048A4B3A32A0C5A185F3F57E10A32CAF5B71ABRCV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5EC71B52D521543183597F9CD5EE184C8697E5D678594D241D71B3BFFCDB0C01AB66417C869F281048B453F32A0C5A185F3F57E10A32CAF5B71ABRCVDJ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75EC71B52D521543183597F9CD5EE184C8697E5D6A819FD441D71B3BFFCDB0C01AB66417C869F2810682473B32A0C5A185F3F57E10A32CAF5B71ABRCVDJ" TargetMode="External"/><Relationship Id="rId5" Type="http://schemas.openxmlformats.org/officeDocument/2006/relationships/hyperlink" Target="consultantplus://offline/ref=F2D6DB046217421B5ED50143A2E6E1987024DFC72EBE634877FFA5A36B685437A1D76FDFD40409D95537A924B299CE2FA5F44B1B47D37498C27FF2Q5VEJ" TargetMode="External"/><Relationship Id="rId15" Type="http://schemas.openxmlformats.org/officeDocument/2006/relationships/hyperlink" Target="consultantplus://offline/ref=75EC71B52D521543183597F9CD5EE184C8697E5D678594D241D71B3BFFCDB0C01AB66417C869F2830FDF12796CF995E7CEFFF4620CA22ERBV3J" TargetMode="External"/><Relationship Id="rId10" Type="http://schemas.openxmlformats.org/officeDocument/2006/relationships/hyperlink" Target="consultantplus://offline/ref=75EC71B52D521543183597F9CD5EE184C8697E5D678594D241D71B3BFFCDB0C01AB66417C869F281048B473E32A0C5A185F3F57E10A32CAF5B71ABRCVDJ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F2D6DB046217421B5ED50143A2E6E1987024DFC721B56E4870FFA5A36B685437A1D76FDFD40409D9543BAA26B299CE2FA5F44B1B47D37498C27FF2Q5VEJ" TargetMode="External"/><Relationship Id="rId9" Type="http://schemas.openxmlformats.org/officeDocument/2006/relationships/hyperlink" Target="consultantplus://offline/ref=75EC71B52D521543183597F9CD5EE184C8697E5D678594D241D71B3BFFCDB0C01AB66417C869F281048A4B3932A0C5A185F3F57E10A32CAF5B71ABRCVDJ" TargetMode="External"/><Relationship Id="rId14" Type="http://schemas.openxmlformats.org/officeDocument/2006/relationships/hyperlink" Target="consultantplus://offline/ref=75EC71B52D521543183597F9CD5EE184C8697E5D678594D241D71B3BFFCDB0C01AB66417C869F281048A463832A0C5A185F3F57E10A32CAF5B71ABRCV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Созаева Жанна 127</dc:creator>
  <cp:keywords/>
  <dc:description/>
  <cp:lastModifiedBy>МБУ Казакова Фатима 124</cp:lastModifiedBy>
  <cp:revision>2</cp:revision>
  <dcterms:created xsi:type="dcterms:W3CDTF">2022-10-12T09:20:00Z</dcterms:created>
  <dcterms:modified xsi:type="dcterms:W3CDTF">2022-10-16T10:51:00Z</dcterms:modified>
</cp:coreProperties>
</file>